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6137C" w14:textId="77777777" w:rsidR="00BA13F7" w:rsidRPr="00BA13F7" w:rsidRDefault="00BA13F7" w:rsidP="00BA13F7">
      <w:pPr>
        <w:widowControl/>
        <w:jc w:val="center"/>
        <w:rPr>
          <w:rFonts w:ascii="黑体" w:eastAsia="黑体" w:hAnsi="黑体" w:cs="宋体" w:hint="eastAsia"/>
          <w:color w:val="333333"/>
          <w:kern w:val="0"/>
          <w:sz w:val="36"/>
          <w:szCs w:val="36"/>
          <w:shd w:val="clear" w:color="auto" w:fill="FFFFFF"/>
        </w:rPr>
      </w:pPr>
      <w:r w:rsidRPr="00BA13F7">
        <w:rPr>
          <w:rFonts w:ascii="黑体" w:eastAsia="黑体" w:hAnsi="黑体" w:cs="宋体" w:hint="eastAsia"/>
          <w:color w:val="333333"/>
          <w:kern w:val="0"/>
          <w:sz w:val="36"/>
          <w:szCs w:val="36"/>
          <w:shd w:val="clear" w:color="auto" w:fill="FFFFFF"/>
        </w:rPr>
        <w:t>中共中央办公厅 国务院办公厅关于推进绿色低碳转型加强全国</w:t>
      </w:r>
      <w:proofErr w:type="gramStart"/>
      <w:r w:rsidRPr="00BA13F7">
        <w:rPr>
          <w:rFonts w:ascii="黑体" w:eastAsia="黑体" w:hAnsi="黑体" w:cs="宋体" w:hint="eastAsia"/>
          <w:color w:val="333333"/>
          <w:kern w:val="0"/>
          <w:sz w:val="36"/>
          <w:szCs w:val="36"/>
          <w:shd w:val="clear" w:color="auto" w:fill="FFFFFF"/>
        </w:rPr>
        <w:t>碳市场</w:t>
      </w:r>
      <w:proofErr w:type="gramEnd"/>
      <w:r w:rsidRPr="00BA13F7">
        <w:rPr>
          <w:rFonts w:ascii="黑体" w:eastAsia="黑体" w:hAnsi="黑体" w:cs="宋体" w:hint="eastAsia"/>
          <w:color w:val="333333"/>
          <w:kern w:val="0"/>
          <w:sz w:val="36"/>
          <w:szCs w:val="36"/>
          <w:shd w:val="clear" w:color="auto" w:fill="FFFFFF"/>
        </w:rPr>
        <w:t>建设的意见</w:t>
      </w:r>
    </w:p>
    <w:p w14:paraId="1D6676B5" w14:textId="77777777" w:rsidR="00BA13F7" w:rsidRPr="00BA13F7" w:rsidRDefault="00BA13F7" w:rsidP="00BA13F7">
      <w:pPr>
        <w:widowControl/>
        <w:jc w:val="center"/>
        <w:rPr>
          <w:rFonts w:ascii="黑体" w:eastAsia="黑体" w:hAnsi="黑体" w:cs="宋体" w:hint="eastAsia"/>
          <w:color w:val="333333"/>
          <w:kern w:val="0"/>
          <w:sz w:val="28"/>
          <w:szCs w:val="28"/>
          <w:shd w:val="clear" w:color="auto" w:fill="FFFFFF"/>
        </w:rPr>
      </w:pPr>
      <w:r w:rsidRPr="00BA13F7">
        <w:rPr>
          <w:rFonts w:ascii="黑体" w:eastAsia="黑体" w:hAnsi="黑体" w:cs="宋体" w:hint="eastAsia"/>
          <w:color w:val="333333"/>
          <w:kern w:val="0"/>
          <w:sz w:val="28"/>
          <w:szCs w:val="28"/>
          <w:shd w:val="clear" w:color="auto" w:fill="FFFFFF"/>
        </w:rPr>
        <w:t>（2025年5月24日）</w:t>
      </w:r>
    </w:p>
    <w:p w14:paraId="7EE4BE7D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286CBF37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是利用市场机制积极应对气候变化、加快经济社会发展全面绿色转型的重要政策工具。目前，我国已建立重点排放单位履行强制减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排责任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的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全国碳排放权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交易市场和激励社会自主减排的全国温室气体自愿减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排交易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市场。为推动建设更加有效、更有活力、更具国际影响力的全国碳市场，经党中央、国务院同意，现提出如下意见。</w:t>
      </w:r>
    </w:p>
    <w:p w14:paraId="6EF079EB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1A821D84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一、总体要求</w:t>
      </w:r>
    </w:p>
    <w:p w14:paraId="0CB30F39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4C5BAF02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坚持以习近平新时代中国特色社会主义思想为指导，深入贯彻党的二十大和二十届二中、三中全会精神，全面贯彻习近平经济思想、习近平生态文明思想，坚持稳中求进工作总基调，兼顾绿色低碳转型和经济发展需要，坚持有效市场、有为政府，坚持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作为控制温室气体排放政策工具的基本定位，加快建设全国统一的碳市场，有计划分步骤扩大实施范围、扩展参与主体，营造更加公平公开透明的市场环境，努力实现碳排放资源配置效率最优化和效益最大化，推动传统产业深度转型，培育发展新质生产力，激发全社会绿色低碳发展内生动力，为积极稳妥推进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碳达峰碳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中和、建设美丽中国提供重要支撑。</w:t>
      </w:r>
    </w:p>
    <w:p w14:paraId="7455CD7E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1AB95EF3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主要目标是：到2027年，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全国碳排放权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交易市场基本覆盖工业领域主要排放行业，全国温室气体自愿减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排交易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市场实现重点领域全覆盖。到2030年，基本建成以配额总量控制为基础、免费和有偿分配相结合的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全国碳排放权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交易市场，建成诚信透明、方法统一、参与广泛、与国际接轨的全国温室气体自愿减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排交易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市场，形成减排效果明显、规则体系健全、价格水平合理的碳定价机制。</w:t>
      </w:r>
    </w:p>
    <w:p w14:paraId="547C53A3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40A1795E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二、加快建设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全国碳排放权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</w:t>
      </w:r>
    </w:p>
    <w:p w14:paraId="0DB9ED3C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30CEC15B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（一）扩大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全国碳排放权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交易市场覆盖范围。根据行业发展状况、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降碳减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污贡献、数据质量基础、碳排放特征等，有序扩大覆盖行业范围和温室气体种类。</w:t>
      </w:r>
    </w:p>
    <w:p w14:paraId="06DCA07F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5905D2D8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lastRenderedPageBreak/>
        <w:t>（二）完善碳排放配额管理制度。建立预期明确、公开透明的碳排放配额管理制度，保持政策稳定性和连续性。综合考虑经济社会发展、行业特点、低碳转型成本等，明确市场中长期碳排放配额控制目标。根据国家温室气体排放控制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目标及碳排放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双控要求，处理好与能源安全、产业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链供应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链安全、民生保障的关系，科学设定配额总量，逐步由强度控制转向总量控制。到2027年，对碳排放总量相对稳定的行业优先实施配额总量控制。稳妥推行免费和有偿相结合的碳排放配额分配方式，有序提高有偿分配比例。建立配额储备和市场调节机制，平衡市场供需，增强市场稳定性和流动性。合理确定用核证自愿减排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抵销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碳排放配额清缴的比例。</w:t>
      </w:r>
    </w:p>
    <w:p w14:paraId="4F7696D6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13857EF0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（三）加强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对碳排放权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交易试点市场的指导和监督管理。统筹好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全国碳排放权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交易市场和有关地方试点开展的碳市场。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现有碳排放权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交易试点市场要按照有关要求规范建设运行，助力区域绿色低碳转型。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鼓励碳排放权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交易试点市场在扩大覆盖范围、完善市场调节机制、创新监管手段、健康有序发展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碳金融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等方面先行先试，为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全国碳排放权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交易市场建设探索经验。建立定期评估和退出机制，不再新建地方或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区域碳排放权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交易市场。</w:t>
      </w:r>
    </w:p>
    <w:p w14:paraId="036385F2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1C1656B4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三、积极发展全国温室气体自愿减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排交易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市场</w:t>
      </w:r>
    </w:p>
    <w:p w14:paraId="2008FD4D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13EA3882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（四）加快自愿减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排交易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市场建设。建立科学完备的方法学体系，针对可持续发展效益显著、社会期待高、社会和生态效益兼具的重点领域加快方法学开发，有效服务社会自主减排和生态产品价值实现。强化自愿减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排项目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开发、审定、实施及减排量核查等全链条管理。项目业主、审定与核查机构要恪守诚信原则，严格落实承诺事项，主动接受社会监督。加强全国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碳减排资源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统筹管理，规范各类自愿减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排交易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活动。</w:t>
      </w:r>
    </w:p>
    <w:p w14:paraId="1B869C49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162653D2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（五）积极推动核证自愿减排量应用。倡导推动党政机关、企业、社会团体等在绿色供应链管理、开展大型活动、履行社会责任、绿色低碳生活等方面，积极使用核证自愿减排量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抵销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碳排放，各级党政机关和国有企业要发挥表率作用。完善核证自愿减排量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抵销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规则，提高国际认可度，积极服务有关行业企业国际履约和产品碳中和。</w:t>
      </w:r>
    </w:p>
    <w:p w14:paraId="576A54B6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2540B784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四、着力提升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活力</w:t>
      </w:r>
    </w:p>
    <w:p w14:paraId="3ECCFDEC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59361EB3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（六）丰富交易产品。稳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慎推进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金融机构探索开发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与碳排放权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和核证自愿减排量相关的绿色金融产品和服务，加大对温室气体减排的支持力度。建立完</w:t>
      </w: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lastRenderedPageBreak/>
        <w:t>善碳质押、碳回购等政策制度，规范开展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与碳排放权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相关的金融活动，拓展企业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碳资产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管理渠道。以全国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为主体建立完善碳定价机制，充分利用全国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的价格发现功能，为金融支持绿色低碳发展提供有效的价格信号。</w:t>
      </w:r>
    </w:p>
    <w:p w14:paraId="0C449C50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3F2D5007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（七）扩展交易主体。支持银行等金融机构规范开展碳质押融资业务，稳妥推进符合要求的金融机构在依法合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规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、风险可控前提下参与全国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交易，适时引入其他非履约主体。全国温室气体自愿减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排交易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市场逐步引入符合条件的自然人参与交易。</w:t>
      </w:r>
    </w:p>
    <w:p w14:paraId="4863E167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3ACB037C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八）加强市场交易监管。规范重大政策信息发布，完善市场交易风险预防预警及处置程序，开展全国碳市场价格跟踪评估，推动形成合理交易价格。加强交易行为监管，严厉打击扰乱市场秩序、操纵市场等行为。建立重点排放单位履约风险评估预警和管理制度，防范履约风险。加强对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碳金融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活动的监督管理，引导金融机构按照市场化、法治化原则做好金融服务，守住不发生系统性金融风险的底线。</w:t>
      </w:r>
    </w:p>
    <w:p w14:paraId="19518870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67EBE2BD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五、全面加强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能力建设</w:t>
      </w:r>
    </w:p>
    <w:p w14:paraId="5F665363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7399D7ED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（九）完善管理体制和支撑体系。建立健全与全国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发展阶段相适应、有利于加强统一监督管理、权责清晰、运行高效的管理体系。加强全国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管理能力建设。推动建设全链条、数字化、智能化的全国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管理系统、注册登记系统和交易系统，强化服务功能，保障数据安全。</w:t>
      </w:r>
    </w:p>
    <w:p w14:paraId="6FFD8C91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6D067F0C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（十）加强碳排放核算与报告管理。健全企业温室气体排放报告制度。结合全国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建设，加快修订重点行业企业温室气体核算与报告指南，条件成熟后转化为国家标准。实施碳排放核算分类管理，完善基于排放因子法的核算体系，探索开展基于自动监测的碳排放核算。加强碳排放关键计量器具配备、使用和管理，依法进行检定或校准，制定计量技术规范，开展碳排放计量审查。实施重点排放单位关键参数月度存证。</w:t>
      </w:r>
    </w:p>
    <w:p w14:paraId="2D44F09D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48CF7740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十一）严格规范碳排放核查。完善重点行业核查技术规范，明确核查要点和要求，规范核查流程。推动审定核查机构严格遵循客观独立、诚实守信、公平公正、专业严谨的原则，对碳排放进行全面核实查证，确保审定、核查结果的准确性和可信度。对碳排放报告持续保持高质量的重点排放单位可结合实际简化核查。</w:t>
      </w:r>
    </w:p>
    <w:p w14:paraId="5A1E9F46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63D13624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lastRenderedPageBreak/>
        <w:t>（十二）加强碳排放数据质量全过程监管。压实重点排放单位履行碳排放核算与报告的主体责任，推动企业建立健全碳排放数据质量内部管理制度。地方生态环境、市场监管部门会同有关部门加强碳排放数据日常监督管理，综合运用大数据、区块链、物联网等技术，提升监管水平。加大违法违规行为查处力度，严厉打击弄虚作假行为。</w:t>
      </w:r>
    </w:p>
    <w:p w14:paraId="6C16EAA0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4633FD60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（十三）加强技术服务机构监管。对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全国碳排放权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交易市场核查机构实施认证机构资质管理，明确准入条件、行为规范和退出机制。加强碳排放相关检验检测机构管理，建立违规机构清出机制。积极培育咨询服务、检验检测、审定核查等技术服务业，定期开展评估，促进第三方技术服务市场健康发展，打造更多国际性专业服务机构。推动技术服务机构加强行业自律管理。</w:t>
      </w:r>
    </w:p>
    <w:p w14:paraId="538C3273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4478592B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（十四）完善信息披露制度。重点排放单位、注册登记机构、交易机构、技术服务机构、金融机构等根据有关要求及时公开排放、履约、交易、质押等相关信息，接受社会监督。建立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相关数据部门共享机制。依法加强重点排放单位、技术服务机构和金融机构信用监督管理。</w:t>
      </w:r>
    </w:p>
    <w:p w14:paraId="580195F8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4FE332A5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六、加强组织实施保障</w:t>
      </w:r>
    </w:p>
    <w:p w14:paraId="5A1ABED4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4F17B184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（十五）加强组织领导。在党中央集中统一领导下，各地区各有关部门要结合实际抓好本意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见贯彻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落实。地方各级党委和政府要加强组织领导，积极推进绿色低碳转型，强化对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建设运行的政策支持，加强对重点排放单位的监督管理，扎实做好本地区重点排放单位配额发放、配额清缴、数据质量管理等工作。生态环境部要加强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建设统筹协调、组织实施和跟踪评估，系统推进任务落地落实。有关部门要根据职责分工，加强协调配合和监管指导，形成工作合力。重大事项及时按程序向党中央、国务院请示报告。</w:t>
      </w:r>
    </w:p>
    <w:p w14:paraId="5B02015F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76FB9358" w14:textId="77777777" w:rsidR="00BA13F7" w:rsidRPr="00BA13F7" w:rsidRDefault="00BA13F7" w:rsidP="00BA13F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（十六）强化政策法规支撑。研究完善相关法律法规，为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建设提供法律支撑。开展温室气体自愿减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排交易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管理相关立法研究。健全行政执法与刑事司法衔接长效机制，依法开展相关领域检察公益诉讼，加大对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违法犯罪行为的联合打击力度。完善裁判规则体系，依法支持行政机关履行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行政监管职责。加强全国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与绿电、绿证等市场化机制的政策协同、制度衔接。制定全国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注册登记和交易收费规则。完善全国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资金清算机制，提高资金清算效率。降低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制度性交易成本。</w:t>
      </w:r>
    </w:p>
    <w:p w14:paraId="2C507E26" w14:textId="77777777" w:rsidR="00BA13F7" w:rsidRPr="00BA13F7" w:rsidRDefault="00BA13F7" w:rsidP="00BA13F7">
      <w:pPr>
        <w:widowControl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</w:p>
    <w:p w14:paraId="5AC6EEB6" w14:textId="27042FEE" w:rsidR="00D230FC" w:rsidRDefault="00BA13F7" w:rsidP="00BA13F7">
      <w:pPr>
        <w:widowControl/>
        <w:spacing w:line="400" w:lineRule="exact"/>
        <w:ind w:firstLineChars="200" w:firstLine="480"/>
        <w:jc w:val="left"/>
        <w:rPr>
          <w:rFonts w:hint="eastAsia"/>
        </w:rPr>
      </w:pPr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lastRenderedPageBreak/>
        <w:t>（十七）深化国际交流与合作。积极参与应对气候变化《巴黎协定》相关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机制规则制定，推动全球绿色低碳公正转型。加强国际磋商和对话交流。加强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领域交流合作，推动技术、方法、标准、数据国际互认。多渠道宣传我国</w:t>
      </w:r>
      <w:proofErr w:type="gramStart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碳市场</w:t>
      </w:r>
      <w:proofErr w:type="gramEnd"/>
      <w:r w:rsidRPr="00BA13F7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建设做法和经验。</w:t>
      </w:r>
    </w:p>
    <w:sectPr w:rsidR="00D230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3F7"/>
    <w:rsid w:val="00243CAC"/>
    <w:rsid w:val="00B83B7D"/>
    <w:rsid w:val="00BA13F7"/>
    <w:rsid w:val="00D2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1E752"/>
  <w15:chartTrackingRefBased/>
  <w15:docId w15:val="{21AD10A1-5E91-44D7-9FB0-C3921153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13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3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3F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3F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3F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3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3F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3F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A13F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A1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A1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A13F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A13F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A13F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A13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A13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A13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A13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A1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13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A13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13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A13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13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A13F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1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A13F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A13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1</cp:revision>
  <dcterms:created xsi:type="dcterms:W3CDTF">2025-10-28T02:16:00Z</dcterms:created>
  <dcterms:modified xsi:type="dcterms:W3CDTF">2025-10-28T02:20:00Z</dcterms:modified>
</cp:coreProperties>
</file>